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133EFA">
        <w:rPr>
          <w:rFonts w:asciiTheme="minorHAnsi" w:hAnsiTheme="minorHAnsi" w:cs="Arial"/>
          <w:b/>
          <w:sz w:val="28"/>
          <w:szCs w:val="28"/>
        </w:rPr>
        <w:t>P01-4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:rsidR="00171A77" w:rsidRDefault="00624BBA" w:rsidP="00624BBA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6E0B12">
        <w:rPr>
          <w:rFonts w:asciiTheme="minorHAnsi" w:hAnsiTheme="minorHAnsi" w:cstheme="minorHAnsi"/>
        </w:rPr>
        <w:t>NPK, a. s., Svitavská nemocnice, úprava parku před psychiatrií</w:t>
      </w:r>
    </w:p>
    <w:p w:rsidR="006E0B12" w:rsidRDefault="001F727B" w:rsidP="006E0B12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>:</w:t>
      </w:r>
      <w:r w:rsidR="006E0B12">
        <w:rPr>
          <w:rFonts w:asciiTheme="minorHAnsi" w:hAnsiTheme="minorHAnsi" w:cstheme="minorHAnsi"/>
          <w:b/>
        </w:rPr>
        <w:t xml:space="preserve"> </w:t>
      </w:r>
      <w:r w:rsidR="006E0B12" w:rsidRPr="006E0B12">
        <w:rPr>
          <w:rFonts w:asciiTheme="minorHAnsi" w:hAnsiTheme="minorHAnsi" w:cstheme="minorHAnsi"/>
        </w:rPr>
        <w:t>CZ.06.02.02/00/22_063/0003955</w:t>
      </w:r>
    </w:p>
    <w:p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:rsidR="00A10E9F" w:rsidRPr="003213D5" w:rsidRDefault="00A10E9F" w:rsidP="003213D5">
      <w:pPr>
        <w:ind w:right="-24"/>
        <w:rPr>
          <w:rFonts w:asciiTheme="minorHAnsi" w:hAnsiTheme="minorHAnsi" w:cstheme="minorHAnsi"/>
          <w:b/>
          <w:color w:val="FF0000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6E0B12" w:rsidRPr="006E0B12">
        <w:rPr>
          <w:rFonts w:asciiTheme="minorHAnsi" w:hAnsiTheme="minorHAnsi" w:cstheme="minorHAnsi"/>
        </w:rPr>
        <w:t>63</w:t>
      </w:r>
      <w:r w:rsidR="006E0B12">
        <w:rPr>
          <w:rFonts w:asciiTheme="minorHAnsi" w:hAnsiTheme="minorHAnsi" w:cstheme="minorHAnsi"/>
        </w:rPr>
        <w:t>.</w:t>
      </w:r>
      <w:r w:rsidR="006E0B12" w:rsidRPr="006E0B12">
        <w:rPr>
          <w:rFonts w:asciiTheme="minorHAnsi" w:hAnsiTheme="minorHAnsi" w:cstheme="minorHAnsi"/>
        </w:rPr>
        <w:t xml:space="preserve"> </w:t>
      </w:r>
      <w:r w:rsidR="006E0B12">
        <w:rPr>
          <w:rFonts w:asciiTheme="minorHAnsi" w:hAnsiTheme="minorHAnsi" w:cstheme="minorHAnsi"/>
        </w:rPr>
        <w:t xml:space="preserve">výzva IROP – Zelená infrastruktura – SC 2.2 (MRR)  </w:t>
      </w:r>
    </w:p>
    <w:p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6E0B12">
        <w:rPr>
          <w:rFonts w:asciiTheme="minorHAnsi" w:hAnsiTheme="minorHAnsi" w:cstheme="minorHAnsi"/>
        </w:rPr>
        <w:t>Eva Pospíšilová</w:t>
      </w:r>
      <w:r w:rsidRPr="003213D5">
        <w:rPr>
          <w:rFonts w:asciiTheme="minorHAnsi" w:hAnsiTheme="minorHAnsi" w:cstheme="minorHAnsi"/>
        </w:rPr>
        <w:t xml:space="preserve">, tel. 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6E0B12">
        <w:rPr>
          <w:rFonts w:asciiTheme="minorHAnsi" w:hAnsiTheme="minorHAnsi" w:cstheme="minorHAnsi"/>
        </w:rPr>
        <w:t>640</w:t>
      </w:r>
      <w:r w:rsidRPr="003213D5">
        <w:rPr>
          <w:rFonts w:asciiTheme="minorHAnsi" w:hAnsiTheme="minorHAnsi" w:cstheme="minorHAnsi"/>
        </w:rPr>
        <w:t>,</w:t>
      </w:r>
      <w:r w:rsidR="006E0B12">
        <w:rPr>
          <w:rFonts w:asciiTheme="minorHAnsi" w:hAnsiTheme="minorHAnsi" w:cstheme="minorHAnsi"/>
        </w:rPr>
        <w:t xml:space="preserve"> eva.pospisilova@pardubickykraj.cz</w:t>
      </w:r>
    </w:p>
    <w:p w:rsidR="00A10E9F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:rsidR="00C52297" w:rsidRPr="00C52297" w:rsidRDefault="00C52297" w:rsidP="00A10E9F">
      <w:pPr>
        <w:ind w:right="-24"/>
        <w:rPr>
          <w:rFonts w:asciiTheme="minorHAnsi" w:hAnsiTheme="minorHAnsi" w:cstheme="minorHAnsi"/>
        </w:rPr>
      </w:pPr>
      <w:r w:rsidRPr="00C52297">
        <w:rPr>
          <w:rFonts w:asciiTheme="minorHAnsi" w:hAnsiTheme="minorHAnsi" w:cstheme="minorHAnsi"/>
        </w:rPr>
        <w:t>V průběhu realizace budou dodržována pravidla výzvy č. 63</w:t>
      </w:r>
      <w:r>
        <w:rPr>
          <w:rFonts w:asciiTheme="minorHAnsi" w:hAnsiTheme="minorHAnsi" w:cstheme="minorHAnsi"/>
        </w:rPr>
        <w:t>, veškerá dokumentace je</w:t>
      </w:r>
      <w:r w:rsidRPr="00C52297">
        <w:rPr>
          <w:rFonts w:asciiTheme="minorHAnsi" w:hAnsiTheme="minorHAnsi" w:cstheme="minorHAnsi"/>
        </w:rPr>
        <w:t xml:space="preserve"> dostupná na odkaze:  </w:t>
      </w:r>
    </w:p>
    <w:p w:rsidR="00C52297" w:rsidRPr="00C52297" w:rsidRDefault="00133EFA" w:rsidP="00A10E9F">
      <w:pPr>
        <w:ind w:right="-24"/>
        <w:rPr>
          <w:rFonts w:asciiTheme="minorHAnsi" w:hAnsiTheme="minorHAnsi" w:cstheme="minorHAnsi"/>
          <w:b/>
        </w:rPr>
      </w:pPr>
      <w:hyperlink r:id="rId8" w:history="1">
        <w:r w:rsidR="00C52297" w:rsidRPr="00C52297">
          <w:rPr>
            <w:rStyle w:val="Hypertextovodkaz"/>
            <w:rFonts w:asciiTheme="minorHAnsi" w:hAnsiTheme="minorHAnsi" w:cstheme="minorHAnsi"/>
            <w:b/>
            <w:color w:val="auto"/>
          </w:rPr>
          <w:t>https://irop.gov.cz/cs/vyzvy-2021-2027/vyzvy/63vyzvairop</w:t>
        </w:r>
      </w:hyperlink>
    </w:p>
    <w:p w:rsidR="00C52297" w:rsidRPr="003213D5" w:rsidRDefault="00C52297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 xml:space="preserve">320/2001 Sb.,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 xml:space="preserve">ních zjištění a informovat o nich příslušný kontrolní orgán, objednatele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poskytovatele dotace.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133EFA">
        <w:rPr>
          <w:rFonts w:asciiTheme="minorHAnsi" w:hAnsiTheme="minorHAnsi" w:cstheme="minorHAnsi"/>
        </w:rPr>
        <w:br/>
      </w:r>
      <w:r w:rsidR="00B264D3" w:rsidRPr="003213D5">
        <w:rPr>
          <w:rFonts w:asciiTheme="minorHAnsi" w:hAnsiTheme="minorHAnsi" w:cstheme="minorHAnsi"/>
        </w:rPr>
        <w:t xml:space="preserve">o </w:t>
      </w:r>
      <w:r w:rsidR="00B264D3" w:rsidRPr="003213D5">
        <w:rPr>
          <w:rFonts w:asciiTheme="minorHAnsi" w:hAnsiTheme="minorHAnsi" w:cstheme="minorHAnsi"/>
        </w:rPr>
        <w:lastRenderedPageBreak/>
        <w:t>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r w:rsidR="00A12DF9" w:rsidRPr="003213D5">
        <w:rPr>
          <w:rFonts w:asciiTheme="minorHAnsi" w:hAnsiTheme="minorHAnsi" w:cstheme="minorHAnsi"/>
        </w:rPr>
        <w:t>31.</w:t>
      </w:r>
      <w:r w:rsidR="00AA5A05">
        <w:rPr>
          <w:rFonts w:asciiTheme="minorHAnsi" w:hAnsiTheme="minorHAnsi" w:cstheme="minorHAnsi"/>
        </w:rPr>
        <w:t xml:space="preserve"> </w:t>
      </w:r>
      <w:r w:rsidR="00A12DF9" w:rsidRPr="003213D5">
        <w:rPr>
          <w:rFonts w:asciiTheme="minorHAnsi" w:hAnsiTheme="minorHAnsi" w:cstheme="minorHAnsi"/>
        </w:rPr>
        <w:t>12.</w:t>
      </w:r>
      <w:r w:rsidR="00AA5A0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r w:rsidRPr="003213D5">
        <w:rPr>
          <w:rFonts w:asciiTheme="minorHAnsi" w:hAnsiTheme="minorHAnsi" w:cstheme="minorHAnsi"/>
        </w:rPr>
        <w:t xml:space="preserve"> poskytovat požadované informace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zaměstnancům nebo zmocněncům pověřených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 xml:space="preserve">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 xml:space="preserve">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:rsidR="00457291" w:rsidRDefault="00C5229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Dle pravidel výzvy (odkaz výše) vystaví z</w:t>
      </w:r>
      <w:r w:rsidR="009804EF" w:rsidRPr="003213D5">
        <w:rPr>
          <w:rFonts w:asciiTheme="minorHAnsi" w:hAnsiTheme="minorHAnsi" w:cstheme="minorHAnsi"/>
        </w:rPr>
        <w:t xml:space="preserve">hotovitel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="009804EF" w:rsidRPr="003213D5">
        <w:rPr>
          <w:rFonts w:asciiTheme="minorHAnsi" w:hAnsiTheme="minorHAnsi" w:cstheme="minorHAnsi"/>
        </w:rPr>
        <w:t xml:space="preserve"> modernizované komunikace </w:t>
      </w:r>
      <w:r w:rsidR="00457291">
        <w:rPr>
          <w:rFonts w:asciiTheme="minorHAnsi" w:hAnsiTheme="minorHAnsi" w:cstheme="minorHAnsi"/>
        </w:rPr>
        <w:t>s</w:t>
      </w:r>
      <w:r w:rsidR="00457291" w:rsidRPr="00457291">
        <w:rPr>
          <w:rFonts w:asciiTheme="minorHAnsi" w:hAnsiTheme="minorHAnsi" w:cstheme="minorHAnsi"/>
        </w:rPr>
        <w:t>tálou pamětní desku. Stálou pamětní deskou se rozumí takové provedení pamětní desky, které bude provedeno z materiálů odolných vůči povětrnostním podmínkám. Stálá pamětní deska musí být umístěna po celou dobu fyzické existence daného projektu, minimálně však po dobu udržitelnosti.</w:t>
      </w:r>
      <w:r>
        <w:rPr>
          <w:rFonts w:asciiTheme="minorHAnsi" w:hAnsiTheme="minorHAnsi" w:cstheme="minorHAnsi"/>
        </w:rPr>
        <w:t xml:space="preserve"> </w:t>
      </w:r>
    </w:p>
    <w:p w:rsidR="003317D4" w:rsidRPr="003213D5" w:rsidRDefault="00A15259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="003317D4"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Pr="003213D5">
        <w:rPr>
          <w:rFonts w:asciiTheme="minorHAnsi" w:hAnsiTheme="minorHAnsi" w:cstheme="minorHAnsi"/>
        </w:rPr>
        <w:t xml:space="preserve">olného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Grafické podklady pro výrobu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Veškeré povolené alternativy prvků publicity jsou k dispozici na webových stránkách </w:t>
      </w:r>
      <w:r w:rsidRPr="003213D5">
        <w:rPr>
          <w:rFonts w:asciiTheme="minorHAnsi" w:hAnsiTheme="minorHAnsi" w:cstheme="minorHAnsi"/>
        </w:rPr>
        <w:lastRenderedPageBreak/>
        <w:t xml:space="preserve">poskytovatele dotace. Umístění </w:t>
      </w:r>
      <w:r w:rsidR="00457291">
        <w:rPr>
          <w:rFonts w:asciiTheme="minorHAnsi" w:hAnsiTheme="minorHAnsi" w:cstheme="minorHAnsi"/>
        </w:rPr>
        <w:t>stálé</w:t>
      </w:r>
      <w:r w:rsidRPr="003213D5">
        <w:rPr>
          <w:rFonts w:asciiTheme="minorHAnsi" w:hAnsiTheme="minorHAnsi" w:cstheme="minorHAnsi"/>
        </w:rPr>
        <w:t xml:space="preserve"> pamětní desky musí být konzultováno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:rsidR="00457291" w:rsidRDefault="00457291" w:rsidP="00C52297">
      <w:pPr>
        <w:pStyle w:val="Odstavecseseznamem"/>
        <w:spacing w:after="120"/>
        <w:ind w:left="709"/>
        <w:jc w:val="both"/>
        <w:rPr>
          <w:rFonts w:asciiTheme="minorHAnsi" w:hAnsiTheme="minorHAnsi" w:cstheme="minorHAnsi"/>
        </w:rPr>
      </w:pPr>
    </w:p>
    <w:p w:rsidR="00797471" w:rsidRPr="00004811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t xml:space="preserve">UPOZORNĚNÍ – DNSH </w:t>
      </w:r>
    </w:p>
    <w:p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</w:p>
    <w:p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Udržitelné využívání a ochrana vodních zdrojů: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Přechod na oběhové hospodářství: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Nejméně 70 % (hmotnostních) stavebního a demoličního odpadu neklasifikovaného jako nebezpečný (s výjimkou v přírodě se vyskytujících materiálů uvedených v kategorii 17 05 04 </w:t>
      </w:r>
      <w:r w:rsidR="00133EFA">
        <w:rPr>
          <w:rFonts w:asciiTheme="minorHAnsi" w:hAnsiTheme="minorHAnsi" w:cstheme="minorHAnsi"/>
        </w:rPr>
        <w:br/>
      </w:r>
      <w:bookmarkStart w:id="0" w:name="_GoBack"/>
      <w:bookmarkEnd w:id="0"/>
      <w:r w:rsidRPr="003213D5">
        <w:rPr>
          <w:rFonts w:asciiTheme="minorHAnsi" w:hAnsiTheme="minorHAnsi" w:cstheme="minorHAnsi"/>
        </w:rPr>
        <w:t>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Prevence a omezování znečištění: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</w:t>
      </w:r>
      <w:proofErr w:type="spellStart"/>
      <w:r w:rsidRPr="003213D5">
        <w:rPr>
          <w:rFonts w:asciiTheme="minorHAnsi" w:hAnsiTheme="minorHAnsi" w:cstheme="minorHAnsi"/>
        </w:rPr>
        <w:t>brownfield</w:t>
      </w:r>
      <w:proofErr w:type="spellEnd"/>
      <w:r w:rsidRPr="003213D5">
        <w:rPr>
          <w:rFonts w:asciiTheme="minorHAnsi" w:hAnsiTheme="minorHAnsi" w:cstheme="minorHAnsi"/>
        </w:rPr>
        <w:t>), bylo na staveništi provedeno šetření na potenciální kontaminující látky, např. podle normy ISO 18400.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:rsidR="0044315E" w:rsidRPr="003213D5" w:rsidRDefault="0044315E" w:rsidP="00276CA3">
      <w:pPr>
        <w:jc w:val="both"/>
        <w:rPr>
          <w:rFonts w:asciiTheme="minorHAnsi" w:hAnsiTheme="minorHAnsi" w:cstheme="minorHAnsi"/>
        </w:rPr>
      </w:pPr>
    </w:p>
    <w:sectPr w:rsidR="0044315E" w:rsidRPr="003213D5" w:rsidSect="00F30D2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EE1" w:rsidRDefault="00304EE1">
      <w:r>
        <w:separator/>
      </w:r>
    </w:p>
  </w:endnote>
  <w:endnote w:type="continuationSeparator" w:id="0">
    <w:p w:rsidR="00304EE1" w:rsidRDefault="0030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133EFA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133EFA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EE1" w:rsidRDefault="00304EE1">
      <w:r>
        <w:separator/>
      </w:r>
    </w:p>
  </w:footnote>
  <w:footnote w:type="continuationSeparator" w:id="0">
    <w:p w:rsidR="00304EE1" w:rsidRDefault="00304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4465510</wp:posOffset>
              </wp:positionH>
              <wp:positionV relativeFrom="paragraph">
                <wp:posOffset>-184831</wp:posOffset>
              </wp:positionV>
              <wp:extent cx="1274677" cy="1404620"/>
              <wp:effectExtent l="0" t="0" r="1905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4677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133EFA">
                            <w:rPr>
                              <w:rFonts w:ascii="Arial" w:hAnsi="Arial" w:cs="Arial"/>
                              <w:sz w:val="22"/>
                            </w:rPr>
                            <w:t>P01-4</w:t>
                          </w:r>
                        </w:p>
                        <w:p w:rsidR="00133EFA" w:rsidRPr="00391D85" w:rsidRDefault="00133EFA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51.6pt;margin-top:-14.55pt;width:100.3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" stroked="f">
              <v:textbox style="mso-fit-shape-to-text:t">
                <w:txbxContent>
                  <w:p w:rsid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133EFA">
                      <w:rPr>
                        <w:rFonts w:ascii="Arial" w:hAnsi="Arial" w:cs="Arial"/>
                        <w:sz w:val="22"/>
                      </w:rPr>
                      <w:t>P01-4</w:t>
                    </w:r>
                  </w:p>
                  <w:p w:rsidR="00133EFA" w:rsidRPr="00391D85" w:rsidRDefault="00133EFA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14DA"/>
    <w:rsid w:val="001042B9"/>
    <w:rsid w:val="001158E1"/>
    <w:rsid w:val="00116DA2"/>
    <w:rsid w:val="0012186A"/>
    <w:rsid w:val="00126D82"/>
    <w:rsid w:val="00133EFA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4EE1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57291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0B12"/>
    <w:rsid w:val="006E437F"/>
    <w:rsid w:val="006F593D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2CCD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A5A05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B6EFD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2297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05AA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85B2196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63vyzvairo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63F60-9920-40F8-AB4C-2E510010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1183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8686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Janurová Petra Bc.</cp:lastModifiedBy>
  <cp:revision>10</cp:revision>
  <cp:lastPrinted>2019-02-15T10:09:00Z</cp:lastPrinted>
  <dcterms:created xsi:type="dcterms:W3CDTF">2024-05-07T15:54:00Z</dcterms:created>
  <dcterms:modified xsi:type="dcterms:W3CDTF">2024-05-21T06:05:00Z</dcterms:modified>
</cp:coreProperties>
</file>